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0DE84D" w14:textId="77777777" w:rsidR="002A1930" w:rsidRDefault="00960CAD" w:rsidP="008D5342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right"/>
        <w:rPr>
          <w:b/>
          <w:color w:val="000000"/>
        </w:rPr>
      </w:pPr>
      <w:r>
        <w:rPr>
          <w:b/>
          <w:color w:val="000000"/>
        </w:rPr>
        <w:t xml:space="preserve">Załącznik Nr 2 </w:t>
      </w:r>
    </w:p>
    <w:p w14:paraId="3195B7F4" w14:textId="77777777" w:rsidR="002A1930" w:rsidRDefault="00960CAD" w:rsidP="008D5342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0" w:left="7200" w:right="-285" w:firstLineChars="0" w:firstLine="0"/>
        <w:jc w:val="center"/>
        <w:rPr>
          <w:b/>
          <w:color w:val="000000"/>
        </w:rPr>
      </w:pPr>
      <w:r>
        <w:rPr>
          <w:b/>
          <w:color w:val="000000"/>
        </w:rPr>
        <w:t xml:space="preserve">do Umowy Nr </w:t>
      </w:r>
    </w:p>
    <w:p w14:paraId="57BEC75B" w14:textId="77777777" w:rsidR="002A1930" w:rsidRDefault="002A193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color w:val="00B050"/>
          <w:sz w:val="18"/>
          <w:szCs w:val="18"/>
        </w:rPr>
      </w:pPr>
    </w:p>
    <w:p w14:paraId="1D554167" w14:textId="77777777" w:rsidR="002A1930" w:rsidRDefault="002A193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rPr>
          <w:color w:val="000000"/>
        </w:rPr>
      </w:pPr>
    </w:p>
    <w:p w14:paraId="6ABADD7D" w14:textId="77777777" w:rsidR="002A1930" w:rsidRDefault="00960CAD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1" w:hanging="3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Warunki gwarancji dla</w:t>
      </w:r>
      <w:r>
        <w:rPr>
          <w:b/>
          <w:sz w:val="28"/>
          <w:szCs w:val="28"/>
        </w:rPr>
        <w:t xml:space="preserve"> części 1/ części 2*</w:t>
      </w:r>
    </w:p>
    <w:p w14:paraId="1DCFF2C8" w14:textId="77777777" w:rsidR="002A1930" w:rsidRDefault="002A193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 w:firstLine="0"/>
        <w:jc w:val="both"/>
        <w:rPr>
          <w:color w:val="000000"/>
          <w:sz w:val="4"/>
          <w:szCs w:val="4"/>
        </w:rPr>
      </w:pPr>
    </w:p>
    <w:p w14:paraId="4DA1AB7C" w14:textId="77777777" w:rsidR="002A1930" w:rsidRDefault="00960CAD" w:rsidP="008D5342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Wykonawca udziela Zamawiającemu gwarancji na prawidłową pracę i właściwy stan techniczny następujących elementów autobusu: </w:t>
      </w:r>
    </w:p>
    <w:p w14:paraId="4E3CA32A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850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nadwozia pojazdu, a w szczególności poszycia zewnętrznego i dachu, płyt podłogowych, uszczelnień okien, drzwi i pokryw na okres trwałości wynoszący </w:t>
      </w:r>
      <w:r>
        <w:rPr>
          <w:b/>
          <w:color w:val="0070C0"/>
          <w:sz w:val="20"/>
          <w:szCs w:val="20"/>
        </w:rPr>
        <w:t>…… lat</w:t>
      </w:r>
      <w:r>
        <w:rPr>
          <w:color w:val="000000"/>
          <w:sz w:val="20"/>
          <w:szCs w:val="20"/>
        </w:rPr>
        <w:t>, nie wymagając dalszego zabezpieczenia antykorozyjnego przez okres trwania gwarancji;</w:t>
      </w:r>
    </w:p>
    <w:p w14:paraId="074C6A69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850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szkieletu (kratownicy/ramy) podwozia oraz szkieletu (kratownicy) nadwozia na okres trwałości wynoszący </w:t>
      </w:r>
      <w:r>
        <w:rPr>
          <w:b/>
          <w:color w:val="0070C0"/>
          <w:sz w:val="20"/>
          <w:szCs w:val="20"/>
        </w:rPr>
        <w:t>…… lat</w:t>
      </w:r>
      <w:r>
        <w:rPr>
          <w:color w:val="000000"/>
          <w:sz w:val="20"/>
          <w:szCs w:val="20"/>
        </w:rPr>
        <w:t>, nie wymagając dalszego zabezpieczenia antykorozyjnego przez okres trwania gwarancji;</w:t>
      </w:r>
    </w:p>
    <w:p w14:paraId="199B040E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850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powłoki lakierniczej nadwozia na okres trwałości wynoszący </w:t>
      </w:r>
      <w:r>
        <w:rPr>
          <w:b/>
          <w:color w:val="0070C0"/>
          <w:sz w:val="20"/>
          <w:szCs w:val="20"/>
        </w:rPr>
        <w:t>….. miesięcy</w:t>
      </w:r>
      <w:r>
        <w:rPr>
          <w:color w:val="000000"/>
          <w:sz w:val="20"/>
          <w:szCs w:val="20"/>
        </w:rPr>
        <w:t>, nie wymagając dalszego zabezpieczenia przez okres trwania gwarancji;</w:t>
      </w:r>
    </w:p>
    <w:p w14:paraId="6AF7529E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850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układu klimatyzacji przestrzeni pasażerskiej i kabiny kierowcy wraz z pakietem serwisowo-gwarancyjnym obejmującym wszystkie elementy klimatyzacji, materiały eksploatacyjne, czynności obsługowo-naprawcze oraz kontrole i legalizacje na okres trwałości 10 lat, </w:t>
      </w:r>
    </w:p>
    <w:p w14:paraId="2D2966D1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850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systemu gaszenia pożaru w komorze silnika oraz agregatu grzewczego wraz z pakietem serwisowo-gwarancyjnym obejmującym czynności kontrolne, obsługowo-naprawcze i legalizacyjne oraz wszystkie elementy systemu i materiały eksploatacyjne na okres trwałości 11 lat, </w:t>
      </w:r>
    </w:p>
    <w:p w14:paraId="285A3DAA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850" w:hangingChars="214" w:hanging="428"/>
        <w:jc w:val="both"/>
        <w:rPr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color w:val="000000"/>
          <w:sz w:val="20"/>
          <w:szCs w:val="20"/>
        </w:rPr>
        <w:t xml:space="preserve">magazynu energii elektrycznej wraz z infrastrukturą sterującą (elektroniką), który musi być dostarczony wraz z 8-letnim pakietem serwisowo-gwarancyjnym obejmującym: czynności kontrolne, naprawcze, obsługowe  wraz z materiałami eksploatacyjnymi. Gwarancja dotyczy jego bezawaryjnej eksploatacji i zachowania w całym okresie gwarancji pojemności energii użytecznej na poziomie, co najmniej 80% wartości początkowej. </w:t>
      </w:r>
      <w:r>
        <w:rPr>
          <w:b/>
          <w:color w:val="000000"/>
          <w:sz w:val="20"/>
          <w:szCs w:val="20"/>
        </w:rPr>
        <w:t>Z zastrzeżeniem że niezależnie od stanu technicznego i wartości pojemności energii użytecznej magazynu energii</w:t>
      </w:r>
      <w:r w:rsidRPr="00C02428">
        <w:rPr>
          <w:b/>
          <w:color w:val="000000"/>
          <w:sz w:val="20"/>
          <w:szCs w:val="20"/>
          <w:highlight w:val="yellow"/>
        </w:rPr>
        <w:t>/</w:t>
      </w:r>
      <w:r w:rsidRPr="00C02428">
        <w:rPr>
          <w:b/>
          <w:strike/>
          <w:color w:val="000000"/>
          <w:sz w:val="20"/>
          <w:szCs w:val="20"/>
          <w:highlight w:val="yellow"/>
        </w:rPr>
        <w:t>akumulatora trakcyjnego</w:t>
      </w:r>
      <w:r>
        <w:rPr>
          <w:b/>
          <w:color w:val="000000"/>
          <w:sz w:val="20"/>
          <w:szCs w:val="20"/>
        </w:rPr>
        <w:t>, tj. po 96 miesiącu eksploatacji autobusu, Wykonawca dokona wymiany na własny koszt magazynu energii - na nowy, wolny od wad, o parametrach nie gorszych niż pierwotnie zamontowany. W przypadku gdy wymiana magazynu energii wiązałaby się z wprowadzeniem zmian na pojeździe w celu jego dostosowania do zabudowy nowego magazynu energii, koszt związany z dostosowaniem pojazdu ponosi Wykonawca. Wykonawca odbierze od Zamawiającego i zutylizuje na swój koszt wymieniony magazyn energii,</w:t>
      </w:r>
    </w:p>
    <w:p w14:paraId="28FC5F27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850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wodorowe ogniwo paliwowe wraz z instalacją wodorową - na bezawaryjną eksploatację i zachowanie wydajności w całym okresie gwarancji (tj. na wszystkie zespoły, układy, magazyn paliwa wodorowego/zbiorniki oraz wszystkie części stykające się z wodorem- gwarancja minimum 96 miesięcy bez limitu przebiegu.</w:t>
      </w:r>
    </w:p>
    <w:p w14:paraId="74DB1E13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850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pozostałych zespołów, układów i elementów autobusu na okres trwałości</w:t>
      </w:r>
      <w:r>
        <w:rPr>
          <w:color w:val="0000FF"/>
          <w:sz w:val="20"/>
          <w:szCs w:val="20"/>
        </w:rPr>
        <w:t xml:space="preserve"> </w:t>
      </w:r>
      <w:r>
        <w:rPr>
          <w:b/>
          <w:color w:val="0070C0"/>
          <w:sz w:val="20"/>
          <w:szCs w:val="20"/>
        </w:rPr>
        <w:t>….. miesięcy</w:t>
      </w:r>
      <w:r>
        <w:rPr>
          <w:color w:val="000000"/>
          <w:sz w:val="20"/>
          <w:szCs w:val="20"/>
        </w:rPr>
        <w:t>.</w:t>
      </w:r>
    </w:p>
    <w:p w14:paraId="151DC6FA" w14:textId="31C4729E" w:rsidR="002A1930" w:rsidRDefault="00960CAD" w:rsidP="008D5342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426" w:hangingChars="2" w:hanging="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Okres trwałości (gwarancji) liczony jest od daty protokolarnego odbioru pojazdu przeprowadzonego zgodnie</w:t>
      </w:r>
      <w:r w:rsidR="008D5342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z § 3 Umowy. </w:t>
      </w:r>
    </w:p>
    <w:p w14:paraId="326712E7" w14:textId="77777777" w:rsidR="002A1930" w:rsidRDefault="00960CAD" w:rsidP="008D5342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426" w:hangingChars="2" w:hanging="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Okres gwarancji ustalony w ust. 1 pkt 1.1.-1.7., nie zależy od przebiegu kilometrów autobusu. Okres gwarancji ustalony w ust. 1 pkt 1.8. ogranicza się limitem do …… tys. km przebiegu każdego autobusu.</w:t>
      </w:r>
    </w:p>
    <w:p w14:paraId="374CF698" w14:textId="77777777" w:rsidR="002A1930" w:rsidRDefault="00960CAD" w:rsidP="008D5342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Właściwy stan techniczny nadwozia pojazdu (o którym mowa w ust. 1 pkt 1.1.), w tym: poszycia zewnętrznego i dachu, uszczelnień okien, drzwi i pokryw, oznacza, że elementy te zachowują swoje własności użytkowe oraz nie występuje jedna z następujących wad (spowodowanych procesami starzenia się lub niewłaściwą jakością prac przeprowadzonych przez Wykonawcę):</w:t>
      </w:r>
    </w:p>
    <w:p w14:paraId="1E9CF46C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utrata szczelności nadwozia autobusu, powodująca przecieki wody do wnętrza pojazdu </w:t>
      </w:r>
      <w:r>
        <w:rPr>
          <w:color w:val="000000"/>
          <w:sz w:val="20"/>
          <w:szCs w:val="20"/>
        </w:rPr>
        <w:br/>
        <w:t>w czasie opadów atmosferycznych (lub przejazdu pojazdu przez myjnię);</w:t>
      </w:r>
    </w:p>
    <w:p w14:paraId="0659867D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perforacja korozyjna blach (lub innych elementów) poszycia;</w:t>
      </w:r>
    </w:p>
    <w:p w14:paraId="3389262E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pęknięcia (korozyjne lub zmęczeniowe) blach (lub innych elementów) poszycia;</w:t>
      </w:r>
    </w:p>
    <w:p w14:paraId="2F8A721A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pęknięcia lub oberwanie wsporników podłużnych lub poprzecznych szkieletu powodujące stopniowe zmniejszanie sztywności szkieletu;</w:t>
      </w:r>
    </w:p>
    <w:p w14:paraId="6D481C8B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pęknięcia, załamania lub nieszczelności płyt podłogowych;</w:t>
      </w:r>
    </w:p>
    <w:p w14:paraId="027BFD2E" w14:textId="77777777" w:rsidR="002A1930" w:rsidRDefault="00960CAD" w:rsidP="008D5342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inne wady wywołujące zagrożenie bezpieczeństwa na drogach publicznych.</w:t>
      </w:r>
    </w:p>
    <w:p w14:paraId="69AC8AC6" w14:textId="77777777" w:rsidR="002A1930" w:rsidRDefault="00960CAD" w:rsidP="008D5342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-64" w:left="427" w:hangingChars="284" w:hanging="56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Właściwy stan techniczny szkieletu (kratownicy/ramy) podwozia oraz szkieletu (kratownicy) nadwozia (o których mowa w ust. 1 pkt 1.2.) oznacza, że elementy te zachowują swoje własności użytkowe oraz nie występuje jedna z następujących wad (spowodowana procesami starzenia się lub niewłaściwą jakością prac przeprowadzonych przez Wykonawcę):</w:t>
      </w:r>
    </w:p>
    <w:p w14:paraId="1B54CF8F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perforacja korozyjna materiału profilów szkieletu, belek ramy nośnej lub blach podwozia;</w:t>
      </w:r>
    </w:p>
    <w:p w14:paraId="1FAB7492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pęknięcia (korozyjne lub zmęczeniowe) blach podwozia;</w:t>
      </w:r>
    </w:p>
    <w:p w14:paraId="0FA3D3CB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pęknięcia spoin w miejscach łączenia profilów szkieletu (węzłach kratownicy);</w:t>
      </w:r>
    </w:p>
    <w:p w14:paraId="1B00C28E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pęknięcia lub oberwanie wsporników podłużnych lub poprzecznych szkieletu powodujące stopniowe zmniejszanie sztywności szkieletu.</w:t>
      </w:r>
    </w:p>
    <w:p w14:paraId="073470B8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Właściwy stan techniczny powłoki lakierniczej nadwozia (o którym mowa w ust. 1 pkt 1.3.) oznacza, że powłoka lakiernicza zachowuje swoje własności ochronne i dekoracyjne oraz nie występuje jedna z następujących wad (spowodowanych procesami starzenia się powłoki lub niewłaściwą jakością prac przeprowadzonych przez Wykonawcę):</w:t>
      </w:r>
    </w:p>
    <w:p w14:paraId="01D4FFFD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wady wykonawcze (w tym: rysy po szlifowaniu, wtrącenia obcych ciał stałych, kratery, zmarszczki, zacieki, złuszczenia itp.);</w:t>
      </w:r>
    </w:p>
    <w:p w14:paraId="636D48C7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zmatowienia powłoki lub jej odbarwienia;</w:t>
      </w:r>
    </w:p>
    <w:p w14:paraId="728DD927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rysy lub mikropęknięcia powłoki;</w:t>
      </w:r>
    </w:p>
    <w:p w14:paraId="46D09C5D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punkty korozji, korozja podpowłokowa lub pęcherze;</w:t>
      </w:r>
    </w:p>
    <w:p w14:paraId="4C0B648A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utrata przyczepności lub spoistości, kruszenie się lub miejscowe odpadanie powłoki.</w:t>
      </w:r>
    </w:p>
    <w:p w14:paraId="6C1CEA48" w14:textId="15BC0401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Właściwy stan techniczny pozostałych zespołów, układów i elementów autobusu (o których mowa w ust. 1 pkt 1.4.-1.8.) oznacza, że elementy te zachowują swoje własności użytkowe oraz nie występuje żadna wada (spowodowana procesami starzenia się lub niewłaściwą jakością prac przeprowadzonych przez Wykonawcę) uniemożliwiająca ich dalszą normalną eksploatację, a w szczególności co najmniej jedna z niżej wymienionych wad:</w:t>
      </w:r>
    </w:p>
    <w:p w14:paraId="2C54B86E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wywołująca zagrożenie bezpieczeństwa na drogach publicznych;</w:t>
      </w:r>
    </w:p>
    <w:p w14:paraId="49341992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powodująca niesprawne funkcjonowanie pojazdu lub uniemożliwiająca jego normalne użytkowanie;</w:t>
      </w:r>
    </w:p>
    <w:p w14:paraId="6EC5C60F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zmniejszająca wygodę jazdy kierowcy lub pasażerom;</w:t>
      </w:r>
    </w:p>
    <w:p w14:paraId="344C2D5A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1" w:left="848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wpływająca na przedwczesne zużycie pojazdu lub jego zespołów (układów).</w:t>
      </w:r>
    </w:p>
    <w:p w14:paraId="6974B1EE" w14:textId="494B8254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okresie trwałości (gwarancji) Zamawiający ma prawo do reklamacji, tzn. dokonania zawiadomienia Wykonawcy o wadzie fizycznej elementu w celu uzyskania przysługujących z tego tytułu uprawnień. Wykonawca również na własny koszt przeprowadza okresowe przeglądy z wymianą materiałów eksploatacyjnych oraz kalibrację i diagnostykę instalacji i podzespołów opisanych w ust. pkt 1.4 – 1.8. w okresie gwarancji. </w:t>
      </w:r>
    </w:p>
    <w:p w14:paraId="3CDAE84E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Wykonawca zobowiązany jest do przyjęcia reklamacji na zasadach określonych w umowie gwarancyjno-serwisowej.</w:t>
      </w:r>
    </w:p>
    <w:p w14:paraId="350EC0F1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przypadku uznania reklamacji wad elementów, o których mowa w punkcie </w:t>
      </w:r>
      <w:r>
        <w:rPr>
          <w:color w:val="000000"/>
          <w:sz w:val="20"/>
          <w:szCs w:val="20"/>
        </w:rPr>
        <w:br/>
        <w:t xml:space="preserve">1.3. stwierdzonych w okresie gwarancji, Wykonawca zapewnia bezpłatne usunięcie wad powłoki lakierniczej, jednak w przypadku stwierdzenia, że łączna powierzchnia tych wad przekracza </w:t>
      </w:r>
      <w:r>
        <w:rPr>
          <w:b/>
          <w:color w:val="000000"/>
          <w:sz w:val="20"/>
          <w:szCs w:val="20"/>
        </w:rPr>
        <w:t xml:space="preserve">5% </w:t>
      </w:r>
      <w:r>
        <w:rPr>
          <w:color w:val="000000"/>
          <w:sz w:val="20"/>
          <w:szCs w:val="20"/>
        </w:rPr>
        <w:t xml:space="preserve">całkowitej powierzchni powłoki lakierniczej pojazdu, Wykonawca jest zobowiązany do bezpłatnego przeprowadzenia lakierowania całego pojazdu. Usunięcie wad powinno nastąpić w terminie do </w:t>
      </w:r>
      <w:r>
        <w:rPr>
          <w:b/>
          <w:color w:val="000000"/>
          <w:sz w:val="20"/>
          <w:szCs w:val="20"/>
        </w:rPr>
        <w:t>21 dni</w:t>
      </w:r>
      <w:r>
        <w:rPr>
          <w:color w:val="000000"/>
          <w:sz w:val="20"/>
          <w:szCs w:val="20"/>
        </w:rPr>
        <w:t xml:space="preserve"> </w:t>
      </w:r>
      <w:r>
        <w:rPr>
          <w:b/>
          <w:sz w:val="20"/>
          <w:szCs w:val="20"/>
        </w:rPr>
        <w:t>roboczych</w:t>
      </w:r>
      <w:r>
        <w:rPr>
          <w:sz w:val="20"/>
          <w:szCs w:val="20"/>
        </w:rPr>
        <w:t>, (tj. od poniedziałku do piątku z wyłączeniem dni ustawowo wolnych od pracy)</w:t>
      </w:r>
      <w:r>
        <w:rPr>
          <w:color w:val="000000"/>
          <w:sz w:val="20"/>
          <w:szCs w:val="20"/>
        </w:rPr>
        <w:t xml:space="preserve"> od dnia zgłoszenia reklamacji, chyba, że Zamawiający wyraził na piśmie zgodę na przedłużenie tego terminu. W przypadku przekroczenia tego terminu Zamawiający może naliczyć Wykonawcy karę umowną w wysokości określonej w </w:t>
      </w:r>
      <w:r>
        <w:rPr>
          <w:b/>
          <w:color w:val="000000"/>
          <w:sz w:val="20"/>
          <w:szCs w:val="20"/>
        </w:rPr>
        <w:t>§ 8 ust. 3 Umowy</w:t>
      </w:r>
      <w:r>
        <w:rPr>
          <w:color w:val="000000"/>
          <w:sz w:val="20"/>
          <w:szCs w:val="20"/>
        </w:rPr>
        <w:t>.</w:t>
      </w:r>
    </w:p>
    <w:p w14:paraId="120CB7C4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  <w:highlight w:val="yellow"/>
        </w:rPr>
      </w:pPr>
      <w:r>
        <w:rPr>
          <w:color w:val="000000"/>
          <w:sz w:val="20"/>
          <w:szCs w:val="20"/>
          <w:highlight w:val="yellow"/>
        </w:rPr>
        <w:t>Przyjmuje się, że całkowita powierzchnia powłoki, o której mowa w ust. 8 wynosi 80 m</w:t>
      </w:r>
      <w:r>
        <w:rPr>
          <w:color w:val="000000"/>
          <w:sz w:val="20"/>
          <w:szCs w:val="20"/>
          <w:highlight w:val="yellow"/>
          <w:vertAlign w:val="superscript"/>
        </w:rPr>
        <w:t>2</w:t>
      </w:r>
      <w:r>
        <w:rPr>
          <w:color w:val="000000"/>
          <w:sz w:val="20"/>
          <w:szCs w:val="20"/>
          <w:highlight w:val="yellow"/>
        </w:rPr>
        <w:t xml:space="preserve"> dla autobusów MEGA</w:t>
      </w:r>
      <w:r>
        <w:rPr>
          <w:sz w:val="20"/>
          <w:szCs w:val="20"/>
          <w:highlight w:val="yellow"/>
        </w:rPr>
        <w:t xml:space="preserve"> i 65m</w:t>
      </w:r>
      <w:r>
        <w:rPr>
          <w:sz w:val="20"/>
          <w:szCs w:val="20"/>
          <w:highlight w:val="yellow"/>
          <w:vertAlign w:val="superscript"/>
        </w:rPr>
        <w:t>2</w:t>
      </w:r>
      <w:r>
        <w:rPr>
          <w:sz w:val="20"/>
          <w:szCs w:val="20"/>
          <w:highlight w:val="yellow"/>
        </w:rPr>
        <w:t xml:space="preserve"> dla autobusów MAXI.</w:t>
      </w:r>
    </w:p>
    <w:p w14:paraId="0CF2A85B" w14:textId="63FB74B9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przypadku uznania reklamacji, Wykonawca zapewnia bezpłatne usunięcie wad elementów, </w:t>
      </w:r>
      <w:r>
        <w:rPr>
          <w:color w:val="000000"/>
          <w:sz w:val="20"/>
          <w:szCs w:val="20"/>
        </w:rPr>
        <w:br/>
        <w:t xml:space="preserve">o których mowa w ust. 1 pkt 1.1., 1.2. oraz 1.4.-1.8. stwierdzonych w okresie gwarancji. Usunięcie wad powinno nastąpić w terminie do </w:t>
      </w:r>
      <w:r w:rsidRPr="00C02428">
        <w:rPr>
          <w:strike/>
          <w:color w:val="000000"/>
          <w:sz w:val="20"/>
          <w:szCs w:val="20"/>
        </w:rPr>
        <w:t>3</w:t>
      </w:r>
      <w:r>
        <w:rPr>
          <w:color w:val="000000"/>
          <w:sz w:val="20"/>
          <w:szCs w:val="20"/>
        </w:rPr>
        <w:t xml:space="preserve"> </w:t>
      </w:r>
      <w:r w:rsidR="00C02428" w:rsidRPr="00C02428">
        <w:rPr>
          <w:color w:val="000000"/>
          <w:sz w:val="20"/>
          <w:szCs w:val="20"/>
          <w:highlight w:val="yellow"/>
        </w:rPr>
        <w:t>5</w:t>
      </w:r>
      <w:r w:rsidR="00C02428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dni roboczych od momentu zgłoszenia reklamacji, chyba że Zamawiający wyraził na piśmie zgodę na przedłużenie tego terminu. W przypadku przekroczenia tego terminu Zamawiający może naliczyć Wykonawcy karę umowną w wysokości określonej w </w:t>
      </w:r>
      <w:r>
        <w:rPr>
          <w:b/>
          <w:color w:val="000000"/>
          <w:sz w:val="20"/>
          <w:szCs w:val="20"/>
        </w:rPr>
        <w:t>§ 8 ust. 3 Umowy.</w:t>
      </w:r>
    </w:p>
    <w:p w14:paraId="54316FD8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Jeżeli usunięcie wady będzie niemożliwe w terminach, o których mowa w ust. 8 lub 10 niniejszego załącznika, Wykonawca może, za pisemną zgodą Zamawiającego, na czas trwania naprawy nieodpłatnie udostępnić Zamawiającemu autobus zastępczy o takich samych parametrach techniczno-eksploatacyjnych jak autobus wycofany z eksploatacji. W takim przypadku nie będą naliczane kary umowne, o których mowa w </w:t>
      </w:r>
      <w:r>
        <w:rPr>
          <w:b/>
          <w:color w:val="000000"/>
          <w:sz w:val="20"/>
          <w:szCs w:val="20"/>
        </w:rPr>
        <w:t>§ 8 ust. 3 Umowy.</w:t>
      </w:r>
    </w:p>
    <w:p w14:paraId="079C8192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Wykonawca nie może odmówić przyjęcia reklamacji i żądać, by Zamawiający zgłosił ją wytwórcy lub dostawcy.</w:t>
      </w:r>
    </w:p>
    <w:p w14:paraId="1A237830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 razie nieuwzględnienia reklamacji Wykonawca jest obowiązany zawiadomić o tym pisemnie Zamawiającego z podaniem uzasadnienia.</w:t>
      </w:r>
    </w:p>
    <w:p w14:paraId="5DC67B1D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Niedokonanie zawiadomienia, o którym mowa w ust. 13 w terminie 48 godzin (dotyczy dni roboczych) od momentu zgłoszenia reklamacji uważa się za uznanie tej reklamacji z obowiązkiem załatwienia jej zgodnie z żądaniem Zamawiającego.</w:t>
      </w:r>
    </w:p>
    <w:p w14:paraId="226DF1C9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w celu wymiany lub zwrotu elementu za zwrotem ceny, jak też w celu naprawy, element został dostarczony staraniem Zamawiającego, załatwiający reklamację, na żądanie Zamawiającego, zwróci mu poniesione przez niego koszty z tym związane (koszty transportu, demontażu, ponownego zainstalowania elementu, ubezpieczenia, delegacji itp.).</w:t>
      </w:r>
    </w:p>
    <w:p w14:paraId="6EE17539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Jeżeli w celu załatwienia reklamacji (dokonania naprawy) albo wykonania czynności obsługowych przewidzianych harmonogramem obsług technicznych, Wykonawca stwierdzi, że niezbędne jest dostarczenie pojazdu do wskazanego przez Wykonawcę miejsca i pojazd ten został tam dostarczony Wykonawca, na żądanie </w:t>
      </w:r>
      <w:r>
        <w:rPr>
          <w:color w:val="000000"/>
          <w:sz w:val="20"/>
          <w:szCs w:val="20"/>
        </w:rPr>
        <w:lastRenderedPageBreak/>
        <w:t xml:space="preserve">Zamawiającego, zwróci Zamawiającemu poniesione przez niego koszty z tym związane na zasadach określonych w umowie gwarancyjno-serwisowej (koszty transportu, ubezpieczenia, rejestracji, koszty administracyjne, delegacji, zużytego paliwa itp.). Powyższe dotyczy również </w:t>
      </w:r>
      <w:r>
        <w:rPr>
          <w:b/>
          <w:color w:val="000000"/>
          <w:sz w:val="20"/>
          <w:szCs w:val="20"/>
        </w:rPr>
        <w:t>zwrotu kosztów związanych</w:t>
      </w:r>
      <w:r>
        <w:rPr>
          <w:color w:val="000000"/>
          <w:sz w:val="20"/>
          <w:szCs w:val="20"/>
        </w:rPr>
        <w:t xml:space="preserve"> </w:t>
      </w:r>
      <w:r>
        <w:rPr>
          <w:b/>
          <w:color w:val="000000"/>
          <w:sz w:val="20"/>
          <w:szCs w:val="20"/>
        </w:rPr>
        <w:t>z odbiorem i przywozem pojazdu</w:t>
      </w:r>
      <w:r>
        <w:rPr>
          <w:color w:val="000000"/>
          <w:sz w:val="20"/>
          <w:szCs w:val="20"/>
        </w:rPr>
        <w:t xml:space="preserve"> do siedziby Zamawiającego po załatwieniu reklamacji.</w:t>
      </w:r>
    </w:p>
    <w:p w14:paraId="5A5AF74E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miejsce (dostarczenia pojazdu), o którym mowa w ust. 16, znajduje się na terenie miasta Bielsko-Biała, a dostarczany pojazd porusza się o własnych siłach, Zamawiający nie będzie żądał od Wykonawcy zwrotu kosztów, o których mowa w ust. 16.</w:t>
      </w:r>
    </w:p>
    <w:p w14:paraId="6ECE3EE1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Wykonawca jest zobowiązany okazać przedstawicielowi Zamawiającego zgodność zapisów znajdujących się w dokumencie gwarancyjnym z odpowiednimi oznaczeniami i danymi na pojeździe lub jego zespołach (elementach), a także urządzeniach pomiarowo-rejestrujących oraz nie naruszone plomby (lub inne zabezpieczenia) w miejscach przewidzianych w dokumencie gwarancyjnym.</w:t>
      </w:r>
    </w:p>
    <w:p w14:paraId="794F2BE1" w14:textId="5BCF3309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Wykonawca jest obowiązany wydać Zamawiającemu wraz z pojazdem wszystkie otrzymane od wytwórcy części składowe zamontowanego zespołu lub podzespołu oraz elementy dodatkowego wyposażenia, jak również wymagane dla danego towaru i sporządzone w języku polskim instrukcje obsługi, konserwacji, informację o właściwościach użytkowych i inne dane niezbędne do prawidłowego korzystania z towaru, a w wypadku towaru sprzedanego z gwarancją – prawidłowo wypełniony dokument gwarancyjny (Kartę Gwarancyjną).</w:t>
      </w:r>
    </w:p>
    <w:p w14:paraId="6D53578A" w14:textId="77777777" w:rsidR="002A1930" w:rsidRDefault="00960CAD" w:rsidP="00AD01F7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Gwarancja nie obejmuje:</w:t>
      </w:r>
    </w:p>
    <w:p w14:paraId="31522C44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usług przeglądowych wykonywanych w ramach obsług codziennych, takich jak: pompowanie opon, regulacja pasków klinowych, ustawienie świateł, obsługa akumulatorów, </w:t>
      </w:r>
    </w:p>
    <w:p w14:paraId="3878EC2B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części </w:t>
      </w:r>
      <w:r>
        <w:rPr>
          <w:sz w:val="20"/>
          <w:szCs w:val="20"/>
        </w:rPr>
        <w:t>oraz materiały eksploatacyjne,</w:t>
      </w:r>
      <w:r>
        <w:rPr>
          <w:color w:val="000000"/>
          <w:sz w:val="20"/>
          <w:szCs w:val="20"/>
        </w:rPr>
        <w:t xml:space="preserve"> które przy użytkowaniu ich zgodnie </w:t>
      </w:r>
      <w:r>
        <w:rPr>
          <w:color w:val="000000"/>
          <w:sz w:val="20"/>
          <w:szCs w:val="20"/>
        </w:rPr>
        <w:br/>
        <w:t xml:space="preserve">z przeznaczeniem, w warunkach zgodnych z instrukcją obsługi ulegają normalnemu zużyciu podczas eksploatacji autobusu lub partii autobusów takich jak: </w:t>
      </w:r>
    </w:p>
    <w:p w14:paraId="120901B2" w14:textId="77777777" w:rsidR="002A1930" w:rsidRDefault="00960CAD" w:rsidP="00AD01F7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387" w:left="991" w:hangingChars="70" w:hanging="14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żarówki, świetlówki, </w:t>
      </w:r>
    </w:p>
    <w:p w14:paraId="7E92B57E" w14:textId="77777777" w:rsidR="002A1930" w:rsidRDefault="00960CAD" w:rsidP="00AD01F7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387" w:left="991" w:hangingChars="70" w:hanging="14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pióra wycieraczek,</w:t>
      </w:r>
    </w:p>
    <w:p w14:paraId="5D49ACF1" w14:textId="77777777" w:rsidR="002A1930" w:rsidRDefault="00960CAD" w:rsidP="00AD01F7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387" w:left="991" w:hangingChars="70" w:hanging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normalnie zużywające się opony (obowiązuje gwarancja producenta), </w:t>
      </w:r>
    </w:p>
    <w:p w14:paraId="6E7C714A" w14:textId="77777777" w:rsidR="002A1930" w:rsidRDefault="00960CAD" w:rsidP="00AD01F7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387" w:left="991" w:hangingChars="70" w:hanging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smary i płyny eksploatacyjne, </w:t>
      </w:r>
    </w:p>
    <w:p w14:paraId="3713189F" w14:textId="77777777" w:rsidR="002A1930" w:rsidRDefault="00960CAD" w:rsidP="00AD01F7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387" w:left="991" w:hangingChars="70" w:hanging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wkłady filtrów;</w:t>
      </w:r>
    </w:p>
    <w:p w14:paraId="72A46599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uszkodzeń opon wynikłych z niewłaściwego ustawienia geometrii zawieszenia, eksploatacji z niewłaściwym ciśnieniem, oraz uszkodzeń mechanicznych. W przypadku stwierdzenia wady fabrycznej Wykonawca zrefunduje Zamawiającemu część kosztów nowej opony adekwatną do jej stopnia zużycia w chwili pojawienia się wady zgodnie z decyzją producenta, </w:t>
      </w:r>
    </w:p>
    <w:p w14:paraId="27DA969E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gwarancja na elementy wymienione w punktach 20.2, 20.3 obowiązuje, gdyby ich awaria lub przedwczesne zużycie było spowodowane wadami wykonawczymi lub niewłaściwą jakością prac przeprowadzonych przez Wykonawcę lub też uszkodzeniami urządzeń współpracujących, </w:t>
      </w:r>
    </w:p>
    <w:p w14:paraId="07D104F1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uszkodzeń powstałych na skutek: </w:t>
      </w:r>
    </w:p>
    <w:p w14:paraId="78B74759" w14:textId="77777777" w:rsidR="002A1930" w:rsidRDefault="00960CAD" w:rsidP="00AD01F7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387" w:left="991" w:hangingChars="70" w:hanging="14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kradzieży, włamania, pożaru, klęsk żywiołowych (np. powodzi), </w:t>
      </w:r>
    </w:p>
    <w:p w14:paraId="2F9BF9F0" w14:textId="77777777" w:rsidR="00C02428" w:rsidRDefault="00960CAD" w:rsidP="00AD01F7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387" w:left="991" w:hangingChars="70" w:hanging="14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działania czynników zewnętrznych lub atmosferycznych, jak: kamienie, żwir, grad, osady chemiczne i sól (inne niż do zimowego utrzymywania dróg), kwasy, itp.,</w:t>
      </w:r>
    </w:p>
    <w:p w14:paraId="2A390B35" w14:textId="0B6A3986" w:rsidR="002A1930" w:rsidRPr="00C02428" w:rsidRDefault="00C02428" w:rsidP="00AD01F7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387" w:left="991" w:hangingChars="70" w:hanging="140"/>
        <w:jc w:val="both"/>
        <w:rPr>
          <w:color w:val="000000"/>
          <w:sz w:val="20"/>
          <w:szCs w:val="20"/>
          <w:highlight w:val="yellow"/>
        </w:rPr>
      </w:pPr>
      <w:r>
        <w:rPr>
          <w:color w:val="000000"/>
          <w:sz w:val="20"/>
          <w:szCs w:val="20"/>
          <w:highlight w:val="yellow"/>
        </w:rPr>
        <w:t xml:space="preserve">wad powstałych w wyniku </w:t>
      </w:r>
      <w:r w:rsidRPr="00C02428">
        <w:rPr>
          <w:color w:val="000000"/>
          <w:sz w:val="20"/>
          <w:szCs w:val="20"/>
          <w:highlight w:val="yellow"/>
        </w:rPr>
        <w:t>aktów wandalizmu.</w:t>
      </w:r>
      <w:r w:rsidR="00960CAD" w:rsidRPr="00C02428">
        <w:rPr>
          <w:color w:val="000000"/>
          <w:sz w:val="20"/>
          <w:szCs w:val="20"/>
          <w:highlight w:val="yellow"/>
        </w:rPr>
        <w:t xml:space="preserve"> </w:t>
      </w:r>
    </w:p>
    <w:p w14:paraId="696FBD0E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szkód powypadkowych lub następstw będących ich skutkiem, </w:t>
      </w:r>
    </w:p>
    <w:p w14:paraId="7EB4A2E4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uszkodzeń będących wynikiem niewłaściwej eksploatacji, </w:t>
      </w:r>
    </w:p>
    <w:p w14:paraId="72D9F8BD" w14:textId="77777777" w:rsidR="002A1930" w:rsidRDefault="00960CAD" w:rsidP="00AD01F7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 xml:space="preserve">części zamiennych, które Zamawiający nabył poza siecią dystrybucyjną Wykonawcy bez uprzedniego uzgodnienia tego faktu z Wykonawcą, </w:t>
      </w:r>
    </w:p>
    <w:p w14:paraId="2F286ADD" w14:textId="77777777" w:rsidR="002A1930" w:rsidRDefault="00960CAD" w:rsidP="00960CAD">
      <w:pPr>
        <w:widowControl/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80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uszkodzeń innych podzespołów spowodowanych awarią części zakupionych przez Zamawiającego spoza sieci dystrybucyjnej Wykonawcy bez jego zgody.</w:t>
      </w:r>
    </w:p>
    <w:p w14:paraId="49EB43B6" w14:textId="77777777" w:rsidR="00960CAD" w:rsidRDefault="00960CAD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360" w:lineRule="auto"/>
        <w:ind w:left="0" w:right="-144" w:hanging="2"/>
        <w:jc w:val="both"/>
        <w:rPr>
          <w:b/>
          <w:color w:val="000000"/>
          <w:sz w:val="20"/>
          <w:szCs w:val="20"/>
        </w:rPr>
      </w:pPr>
    </w:p>
    <w:p w14:paraId="3C987208" w14:textId="035AB556" w:rsidR="002A1930" w:rsidRDefault="00960CAD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360" w:lineRule="auto"/>
        <w:ind w:left="0" w:right="-144" w:hanging="2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UWAGA Nr 1</w:t>
      </w:r>
    </w:p>
    <w:p w14:paraId="3F5B7D44" w14:textId="77777777" w:rsidR="002A1930" w:rsidRDefault="00960CAD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360" w:lineRule="auto"/>
        <w:ind w:left="0" w:right="-144"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Gwarancja obejmuje:</w:t>
      </w:r>
    </w:p>
    <w:p w14:paraId="33E163CF" w14:textId="77777777" w:rsidR="002A1930" w:rsidRDefault="00960CAD" w:rsidP="00960CAD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2" w:right="-144" w:hangingChars="72" w:hanging="14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części układu hamulcowego, w tym klocki hamulcowe oraz tarcze hamulcowe,</w:t>
      </w:r>
    </w:p>
    <w:p w14:paraId="68BEC853" w14:textId="77777777" w:rsidR="002A1930" w:rsidRDefault="00960CAD" w:rsidP="00960CAD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2" w:right="-144" w:hangingChars="72" w:hanging="14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paski klinowe,</w:t>
      </w:r>
    </w:p>
    <w:p w14:paraId="7A1806F8" w14:textId="77777777" w:rsidR="002A1930" w:rsidRDefault="00960CAD" w:rsidP="00960CAD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2" w:right="-144" w:hangingChars="72" w:hanging="14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pozostałe części niewymienione w punkcie 20.2.</w:t>
      </w:r>
    </w:p>
    <w:p w14:paraId="06D04ABD" w14:textId="77777777" w:rsidR="002A1930" w:rsidRDefault="002A1930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360" w:lineRule="auto"/>
        <w:ind w:left="0" w:right="-144" w:hanging="2"/>
        <w:jc w:val="both"/>
        <w:rPr>
          <w:color w:val="000000"/>
          <w:sz w:val="20"/>
          <w:szCs w:val="20"/>
        </w:rPr>
      </w:pPr>
    </w:p>
    <w:p w14:paraId="7FCFE4D6" w14:textId="77777777" w:rsidR="002A1930" w:rsidRDefault="00960CAD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right="-144" w:hanging="2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UWAGA Nr 2</w:t>
      </w:r>
    </w:p>
    <w:p w14:paraId="658ADE13" w14:textId="4269AB81" w:rsidR="002A1930" w:rsidRDefault="00960CAD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right="-144"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Wykonanie przeglądów (obsług) i napraw gwarancyjnych powinno być odnotowane w dokumencie gwarancyjnym (Karcie Gwarancyjnej) z podaniem daty wykonania, przebiegu kilometrów i podpisem oraz pieczątką osoby uprawnionej do przeprowadzania obsług lub napraw gwarancyjnych.</w:t>
      </w:r>
    </w:p>
    <w:p w14:paraId="1B767451" w14:textId="77777777" w:rsidR="002A1930" w:rsidRDefault="002A1930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right="-144" w:hanging="2"/>
        <w:jc w:val="both"/>
        <w:rPr>
          <w:color w:val="000000"/>
          <w:sz w:val="20"/>
          <w:szCs w:val="20"/>
        </w:rPr>
      </w:pPr>
    </w:p>
    <w:p w14:paraId="2A59131B" w14:textId="77777777" w:rsidR="002A1930" w:rsidRDefault="00960CAD" w:rsidP="00960CAD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Chars="214" w:hanging="42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Zamawiający traci uprawnienia z tytułu gwarancji na poszczególne części i podzespoły </w:t>
      </w:r>
      <w:r>
        <w:rPr>
          <w:color w:val="000000"/>
          <w:sz w:val="20"/>
          <w:szCs w:val="20"/>
        </w:rPr>
        <w:br/>
        <w:t>w przypadku:</w:t>
      </w:r>
    </w:p>
    <w:p w14:paraId="363EB7D2" w14:textId="77777777" w:rsidR="002A1930" w:rsidRDefault="00960CAD" w:rsidP="00960CAD">
      <w:pPr>
        <w:widowControl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nieprzestrzegania zaleceń zawartych w dokumentacji technicznej przekazanej </w:t>
      </w:r>
      <w:r>
        <w:rPr>
          <w:color w:val="000000"/>
          <w:sz w:val="20"/>
          <w:szCs w:val="20"/>
        </w:rPr>
        <w:br/>
        <w:t xml:space="preserve">z autobusem lub partią autobusów w zakresie prawidłowej eksploatacji, </w:t>
      </w:r>
    </w:p>
    <w:p w14:paraId="1F1EB1EE" w14:textId="77777777" w:rsidR="002A1930" w:rsidRDefault="00960CAD" w:rsidP="00960CAD">
      <w:pPr>
        <w:widowControl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dokonania modyfikacji autobusu lub partii autobusów bez uprzednio uzyskanej pisemnej zgody Wykonawcy, </w:t>
      </w:r>
    </w:p>
    <w:p w14:paraId="779CCB9A" w14:textId="77777777" w:rsidR="002A1930" w:rsidRDefault="00960CAD" w:rsidP="00960CAD">
      <w:pPr>
        <w:widowControl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wykonania regulacji i napraw w zakresie niezgodnym z posiadaną autoryzacją, niezgodnie z przekazanymi instrukcjami naprawy lub w nieautoryzowanych stacjach obsługi oraz montowania do autobusu lub partii autobusów nieoryginalnych części zamiennych lub materiałów eksploatacyjnych bez zgody Wykonawcy. Powyższy zapis nie dotyczy olejów, smarów, płynów eksploatacyjnych i filtrów spełniających wymogi jakościowe określone przez Wykonawcę, </w:t>
      </w:r>
    </w:p>
    <w:p w14:paraId="553BD279" w14:textId="77777777" w:rsidR="002A1930" w:rsidRDefault="00960CAD" w:rsidP="00960CAD">
      <w:pPr>
        <w:widowControl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eksploatowania autobusu lub partii autobusów niezgodnie z przeznaczeniem </w:t>
      </w:r>
      <w:r>
        <w:rPr>
          <w:color w:val="000000"/>
          <w:sz w:val="20"/>
          <w:szCs w:val="20"/>
        </w:rPr>
        <w:br/>
        <w:t xml:space="preserve">i niezgodnie z przepisami producenta a fakt ten miał istotny wpływ na funkcjonowanie tego zespołu, układu lub elementu, </w:t>
      </w:r>
    </w:p>
    <w:p w14:paraId="73064BCA" w14:textId="77777777" w:rsidR="002A1930" w:rsidRDefault="00960CAD" w:rsidP="00960CAD">
      <w:pPr>
        <w:widowControl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wykonania naprawy, pomimo sprzeciwu Wykonawcy. </w:t>
      </w:r>
    </w:p>
    <w:p w14:paraId="53966A6F" w14:textId="77777777" w:rsidR="002A1930" w:rsidRDefault="00960CAD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1080"/>
        </w:tabs>
        <w:spacing w:line="360" w:lineRule="auto"/>
        <w:ind w:left="0"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Zamawiający jest zobowiązany: </w:t>
      </w:r>
    </w:p>
    <w:p w14:paraId="4C7E0D73" w14:textId="77777777" w:rsidR="002A1930" w:rsidRDefault="00960CAD" w:rsidP="00960CAD">
      <w:pPr>
        <w:widowControl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przy odbiorze autobusu po obsłudze technicznej albo naprawie gwarancyjnej sprawdzić, czy Autoryzowana Stacja Obsługi dokonała odpowiednich wpisów do KSIĄŻECZKI PRZEGLĄDÓW,</w:t>
      </w:r>
    </w:p>
    <w:p w14:paraId="1AD6C88D" w14:textId="77777777" w:rsidR="002A1930" w:rsidRDefault="00960CAD" w:rsidP="00960CAD">
      <w:pPr>
        <w:widowControl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eksploatować autobus zgodnie z zaleceniami zawartymi w dokumentacji technicznej przekazanej wraz z autobusem, </w:t>
      </w:r>
    </w:p>
    <w:p w14:paraId="3CD87F8C" w14:textId="77777777" w:rsidR="002A1930" w:rsidRDefault="00960CAD" w:rsidP="00960CAD">
      <w:pPr>
        <w:widowControl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przestrzegać terminów wykonywania przeglądów okresowych oraz napraw prewencyjnych i dopilnować poświadczenia ich wykonania w KSIĄŻECZCE PRZEGLĄDÓW z podaniem daty wykonania, przebiegu kilometrów i podpisem oraz pieczątką osoby uprawnionej do przeprowadzania obsług lub napraw gwarancyjnych, </w:t>
      </w:r>
    </w:p>
    <w:p w14:paraId="58A1EBC9" w14:textId="77777777" w:rsidR="002A1930" w:rsidRDefault="00960CAD" w:rsidP="00960CAD">
      <w:pPr>
        <w:widowControl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Chars="192" w:left="992" w:hangingChars="285" w:hanging="57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 bieżąco wykonywać naprawy uszkodzeń mechanicznych powłok lakierowanych </w:t>
      </w:r>
      <w:r>
        <w:rPr>
          <w:color w:val="000000"/>
          <w:sz w:val="20"/>
          <w:szCs w:val="20"/>
        </w:rPr>
        <w:br/>
        <w:t>i antykorozyjnych – odpryski lakieru i powłok antykorozyjnych od kamieni, przetarcia, itp.</w:t>
      </w:r>
    </w:p>
    <w:p w14:paraId="56DF5443" w14:textId="77777777" w:rsidR="002A1930" w:rsidRDefault="00960CAD">
      <w:pPr>
        <w:pBdr>
          <w:top w:val="nil"/>
          <w:left w:val="nil"/>
          <w:bottom w:val="nil"/>
          <w:right w:val="nil"/>
          <w:between w:val="nil"/>
        </w:pBdr>
        <w:tabs>
          <w:tab w:val="left" w:pos="180"/>
          <w:tab w:val="left" w:pos="1080"/>
        </w:tabs>
        <w:spacing w:line="360" w:lineRule="auto"/>
        <w:ind w:left="0" w:hanging="2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lastRenderedPageBreak/>
        <w:t xml:space="preserve">* </w:t>
      </w:r>
    </w:p>
    <w:p w14:paraId="6DA2AA50" w14:textId="77777777" w:rsidR="00960CAD" w:rsidRDefault="00960CAD">
      <w:pPr>
        <w:pBdr>
          <w:top w:val="nil"/>
          <w:left w:val="nil"/>
          <w:bottom w:val="nil"/>
          <w:right w:val="nil"/>
          <w:between w:val="nil"/>
        </w:pBdr>
        <w:tabs>
          <w:tab w:val="left" w:pos="180"/>
          <w:tab w:val="left" w:pos="1080"/>
        </w:tabs>
        <w:spacing w:line="360" w:lineRule="auto"/>
        <w:ind w:left="0" w:hanging="2"/>
        <w:jc w:val="both"/>
        <w:rPr>
          <w:color w:val="000000"/>
          <w:sz w:val="20"/>
          <w:szCs w:val="20"/>
        </w:rPr>
      </w:pPr>
      <w:r>
        <w:rPr>
          <w:b/>
          <w:i/>
          <w:color w:val="000000"/>
          <w:sz w:val="20"/>
          <w:szCs w:val="20"/>
        </w:rPr>
        <w:t>UWAGA nr 1</w:t>
      </w:r>
      <w:r>
        <w:rPr>
          <w:color w:val="000000"/>
          <w:sz w:val="20"/>
          <w:szCs w:val="20"/>
        </w:rPr>
        <w:tab/>
      </w:r>
    </w:p>
    <w:p w14:paraId="50B06ACD" w14:textId="033D9C52" w:rsidR="002A1930" w:rsidRDefault="00960CAD">
      <w:pPr>
        <w:pBdr>
          <w:top w:val="nil"/>
          <w:left w:val="nil"/>
          <w:bottom w:val="nil"/>
          <w:right w:val="nil"/>
          <w:between w:val="nil"/>
        </w:pBdr>
        <w:tabs>
          <w:tab w:val="left" w:pos="180"/>
          <w:tab w:val="left" w:pos="1080"/>
        </w:tabs>
        <w:spacing w:line="360" w:lineRule="auto"/>
        <w:ind w:left="0"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Szczegółowy wykaz obowiązkowych okresowych zabiegów obsługowo-konserwacyjnych jest zawarty w przekazanej dokumentacji technicznej i obejmuje zakres czynności, robocizny oraz spis wymaganych urządzeń niezbędnych do ich wykonania. </w:t>
      </w:r>
    </w:p>
    <w:p w14:paraId="271888D0" w14:textId="77777777" w:rsidR="00960CAD" w:rsidRDefault="00960CAD">
      <w:pPr>
        <w:pBdr>
          <w:top w:val="nil"/>
          <w:left w:val="nil"/>
          <w:bottom w:val="nil"/>
          <w:right w:val="nil"/>
          <w:between w:val="nil"/>
        </w:pBdr>
        <w:tabs>
          <w:tab w:val="left" w:pos="180"/>
          <w:tab w:val="left" w:pos="1080"/>
        </w:tabs>
        <w:spacing w:line="360" w:lineRule="auto"/>
        <w:ind w:left="0" w:hanging="2"/>
        <w:jc w:val="both"/>
        <w:rPr>
          <w:b/>
          <w:i/>
          <w:color w:val="000000"/>
          <w:sz w:val="20"/>
          <w:szCs w:val="20"/>
        </w:rPr>
      </w:pPr>
      <w:r>
        <w:rPr>
          <w:b/>
          <w:i/>
          <w:color w:val="000000"/>
          <w:sz w:val="20"/>
          <w:szCs w:val="20"/>
        </w:rPr>
        <w:t>UWAGA nr 2</w:t>
      </w:r>
      <w:r>
        <w:rPr>
          <w:b/>
          <w:i/>
          <w:color w:val="000000"/>
          <w:sz w:val="20"/>
          <w:szCs w:val="20"/>
        </w:rPr>
        <w:tab/>
      </w:r>
    </w:p>
    <w:p w14:paraId="1AFE19DC" w14:textId="146CA592" w:rsidR="002A1930" w:rsidRDefault="00960CAD">
      <w:pPr>
        <w:pBdr>
          <w:top w:val="nil"/>
          <w:left w:val="nil"/>
          <w:bottom w:val="nil"/>
          <w:right w:val="nil"/>
          <w:between w:val="nil"/>
        </w:pBdr>
        <w:tabs>
          <w:tab w:val="left" w:pos="180"/>
          <w:tab w:val="left" w:pos="1080"/>
        </w:tabs>
        <w:spacing w:line="360" w:lineRule="auto"/>
        <w:ind w:left="0"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Szkielet kratownicy nadwozia oraz kratownica/ramy podwozia – okresowe obowiązkowe zabiegi konserwacyjne polegające na uzupełnianiu, odnawianiu lub nakładaniu nowych warstw ochronnych profili zewnętrznych i wewnętrznych (ramy, kratownicy) oraz powłok lakierniczych Wykonawca przeprowadza na własny koszt i ryzyko lub ponosi pełne koszty ich przeprowadzenia w okresie </w:t>
      </w:r>
      <w:r>
        <w:rPr>
          <w:b/>
          <w:color w:val="0070C0"/>
          <w:sz w:val="20"/>
          <w:szCs w:val="20"/>
        </w:rPr>
        <w:t>……. lat</w:t>
      </w:r>
      <w:r>
        <w:rPr>
          <w:color w:val="000000"/>
          <w:sz w:val="20"/>
          <w:szCs w:val="20"/>
        </w:rPr>
        <w:t>.</w:t>
      </w:r>
    </w:p>
    <w:p w14:paraId="2132C92B" w14:textId="77777777" w:rsidR="002A1930" w:rsidRDefault="00960CAD">
      <w:pPr>
        <w:keepNext/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Powyższe nie dotyczy uzupełniania ubytków zewnętrznych powłok ochronnych spowodowanych uszkodzeniami mechanicznymi – odpryski konserwacji od uderzeń kamieni i przetarcia.</w:t>
      </w:r>
    </w:p>
    <w:p w14:paraId="345C2B99" w14:textId="77777777" w:rsidR="002A1930" w:rsidRDefault="002A193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rPr>
          <w:color w:val="000000"/>
        </w:rPr>
      </w:pPr>
    </w:p>
    <w:p w14:paraId="4F01502B" w14:textId="77777777" w:rsidR="002A1930" w:rsidRDefault="00960CAD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center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WYKONAWCA </w:t>
      </w:r>
      <w:r>
        <w:rPr>
          <w:b/>
          <w:color w:val="000000"/>
          <w:sz w:val="20"/>
          <w:szCs w:val="20"/>
        </w:rPr>
        <w:tab/>
      </w:r>
      <w:r>
        <w:rPr>
          <w:b/>
          <w:color w:val="000000"/>
          <w:sz w:val="20"/>
          <w:szCs w:val="20"/>
        </w:rPr>
        <w:tab/>
      </w:r>
      <w:r>
        <w:rPr>
          <w:b/>
          <w:color w:val="000000"/>
          <w:sz w:val="20"/>
          <w:szCs w:val="20"/>
        </w:rPr>
        <w:tab/>
      </w:r>
      <w:r>
        <w:rPr>
          <w:b/>
          <w:color w:val="000000"/>
          <w:sz w:val="20"/>
          <w:szCs w:val="20"/>
        </w:rPr>
        <w:tab/>
      </w:r>
      <w:r>
        <w:rPr>
          <w:b/>
          <w:color w:val="000000"/>
          <w:sz w:val="20"/>
          <w:szCs w:val="20"/>
        </w:rPr>
        <w:tab/>
      </w:r>
      <w:r>
        <w:rPr>
          <w:b/>
          <w:color w:val="000000"/>
          <w:sz w:val="20"/>
          <w:szCs w:val="20"/>
        </w:rPr>
        <w:tab/>
      </w:r>
      <w:r>
        <w:rPr>
          <w:b/>
          <w:color w:val="000000"/>
          <w:sz w:val="20"/>
          <w:szCs w:val="20"/>
        </w:rPr>
        <w:tab/>
        <w:t>ZAMAWIAJĄCY</w:t>
      </w:r>
    </w:p>
    <w:p w14:paraId="006D5552" w14:textId="77777777" w:rsidR="002A1930" w:rsidRDefault="002A193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rPr>
          <w:color w:val="000000"/>
        </w:rPr>
      </w:pPr>
    </w:p>
    <w:sectPr w:rsidR="002A1930" w:rsidSect="008D534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/>
      <w:pgMar w:top="1135" w:right="1418" w:bottom="1134" w:left="1134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1A3141" w14:textId="77777777" w:rsidR="00C85437" w:rsidRDefault="00C85437">
      <w:pPr>
        <w:spacing w:line="240" w:lineRule="auto"/>
        <w:ind w:left="0" w:hanging="2"/>
      </w:pPr>
      <w:r>
        <w:separator/>
      </w:r>
    </w:p>
  </w:endnote>
  <w:endnote w:type="continuationSeparator" w:id="0">
    <w:p w14:paraId="37E180C7" w14:textId="77777777" w:rsidR="00C85437" w:rsidRDefault="00C8543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42C8E940-94E4-41A9-92C0-EC7044D85060}"/>
    <w:embedBold r:id="rId2" w:fontKey="{DF89AF03-CC8F-400D-A544-32566FA9F5F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notTrueType/>
    <w:pitch w:val="default"/>
    <w:embedRegular r:id="rId3" w:fontKey="{AB1FE242-2F4C-48C5-AC3F-15D17CF200F3}"/>
    <w:embedBold r:id="rId4" w:fontKey="{799EB2CD-8C89-47AE-8224-4194BCA3903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97D76A08-7FE9-4CED-8BA0-4764559DD5F9}"/>
    <w:embedItalic r:id="rId6" w:fontKey="{56A66FBC-7F6A-448D-BFF3-57E35B48171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ACB23767-2CA8-465B-831A-6C28FBFFF0C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ED2F4CAF-8AA6-4503-9D1E-4211BFCF10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3FE50B" w14:textId="77777777" w:rsidR="002A1930" w:rsidRDefault="002A19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473F3E" w14:textId="77777777" w:rsidR="002A1930" w:rsidRDefault="00960C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  <w:sz w:val="16"/>
        <w:szCs w:val="16"/>
      </w:rPr>
    </w:pPr>
    <w:r>
      <w:rPr>
        <w:color w:val="000000"/>
        <w:sz w:val="16"/>
        <w:szCs w:val="16"/>
      </w:rPr>
      <w:t xml:space="preserve">Strona </w:t>
    </w:r>
    <w:r>
      <w:rPr>
        <w:color w:val="000000"/>
        <w:sz w:val="16"/>
        <w:szCs w:val="16"/>
      </w:rPr>
      <w:fldChar w:fldCharType="begin"/>
    </w:r>
    <w:r>
      <w:rPr>
        <w:color w:val="000000"/>
        <w:sz w:val="16"/>
        <w:szCs w:val="16"/>
      </w:rPr>
      <w:instrText>PAGE</w:instrText>
    </w:r>
    <w:r>
      <w:rPr>
        <w:color w:val="000000"/>
        <w:sz w:val="16"/>
        <w:szCs w:val="16"/>
      </w:rPr>
      <w:fldChar w:fldCharType="separate"/>
    </w:r>
    <w:r w:rsidR="008D5342">
      <w:rPr>
        <w:noProof/>
        <w:color w:val="000000"/>
        <w:sz w:val="16"/>
        <w:szCs w:val="16"/>
      </w:rPr>
      <w:t>2</w:t>
    </w:r>
    <w:r>
      <w:rPr>
        <w:color w:val="000000"/>
        <w:sz w:val="16"/>
        <w:szCs w:val="16"/>
      </w:rPr>
      <w:fldChar w:fldCharType="end"/>
    </w:r>
    <w:r>
      <w:rPr>
        <w:color w:val="000000"/>
        <w:sz w:val="16"/>
        <w:szCs w:val="16"/>
      </w:rPr>
      <w:t xml:space="preserve"> z </w:t>
    </w:r>
    <w:r>
      <w:rPr>
        <w:color w:val="000000"/>
        <w:sz w:val="16"/>
        <w:szCs w:val="16"/>
      </w:rPr>
      <w:fldChar w:fldCharType="begin"/>
    </w:r>
    <w:r>
      <w:rPr>
        <w:color w:val="000000"/>
        <w:sz w:val="16"/>
        <w:szCs w:val="16"/>
      </w:rPr>
      <w:instrText>NUMPAGES</w:instrText>
    </w:r>
    <w:r>
      <w:rPr>
        <w:color w:val="000000"/>
        <w:sz w:val="16"/>
        <w:szCs w:val="16"/>
      </w:rPr>
      <w:fldChar w:fldCharType="separate"/>
    </w:r>
    <w:r w:rsidR="008D5342">
      <w:rPr>
        <w:noProof/>
        <w:color w:val="000000"/>
        <w:sz w:val="16"/>
        <w:szCs w:val="16"/>
      </w:rPr>
      <w:t>3</w:t>
    </w:r>
    <w:r>
      <w:rPr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371607736"/>
      <w:docPartObj>
        <w:docPartGallery w:val="Page Numbers (Bottom of Page)"/>
        <w:docPartUnique/>
      </w:docPartObj>
    </w:sdtPr>
    <w:sdtEndPr>
      <w:rPr>
        <w:noProof/>
        <w:sz w:val="16"/>
        <w:szCs w:val="16"/>
      </w:rPr>
    </w:sdtEndPr>
    <w:sdtContent>
      <w:p w14:paraId="58DF1E9F" w14:textId="03ECFB24" w:rsidR="008D5342" w:rsidRPr="008D5342" w:rsidRDefault="008D5342">
        <w:pPr>
          <w:pStyle w:val="Stopka"/>
          <w:ind w:left="0" w:hanging="2"/>
          <w:jc w:val="right"/>
          <w:rPr>
            <w:sz w:val="16"/>
            <w:szCs w:val="16"/>
          </w:rPr>
        </w:pPr>
        <w:r w:rsidRPr="008D5342">
          <w:rPr>
            <w:sz w:val="16"/>
            <w:szCs w:val="16"/>
          </w:rPr>
          <w:t xml:space="preserve">Strona </w:t>
        </w:r>
        <w:r w:rsidRPr="008D5342">
          <w:rPr>
            <w:sz w:val="16"/>
            <w:szCs w:val="16"/>
          </w:rPr>
          <w:fldChar w:fldCharType="begin"/>
        </w:r>
        <w:r w:rsidRPr="008D5342">
          <w:rPr>
            <w:sz w:val="16"/>
            <w:szCs w:val="16"/>
          </w:rPr>
          <w:instrText xml:space="preserve"> PAGE   \* MERGEFORMAT </w:instrText>
        </w:r>
        <w:r w:rsidRPr="008D5342">
          <w:rPr>
            <w:sz w:val="16"/>
            <w:szCs w:val="16"/>
          </w:rPr>
          <w:fldChar w:fldCharType="separate"/>
        </w:r>
        <w:r w:rsidRPr="008D5342">
          <w:rPr>
            <w:noProof/>
            <w:sz w:val="16"/>
            <w:szCs w:val="16"/>
          </w:rPr>
          <w:t>2</w:t>
        </w:r>
        <w:r w:rsidRPr="008D5342">
          <w:rPr>
            <w:noProof/>
            <w:sz w:val="16"/>
            <w:szCs w:val="16"/>
          </w:rPr>
          <w:fldChar w:fldCharType="end"/>
        </w:r>
        <w:r w:rsidRPr="008D5342">
          <w:rPr>
            <w:noProof/>
            <w:sz w:val="16"/>
            <w:szCs w:val="16"/>
          </w:rPr>
          <w:t xml:space="preserve"> z 6</w:t>
        </w:r>
      </w:p>
    </w:sdtContent>
  </w:sdt>
  <w:p w14:paraId="26BF6768" w14:textId="77777777" w:rsidR="002A1930" w:rsidRDefault="002A19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A307491" w14:textId="77777777" w:rsidR="00C85437" w:rsidRDefault="00C85437">
      <w:pPr>
        <w:spacing w:line="240" w:lineRule="auto"/>
        <w:ind w:left="0" w:hanging="2"/>
      </w:pPr>
      <w:r>
        <w:separator/>
      </w:r>
    </w:p>
  </w:footnote>
  <w:footnote w:type="continuationSeparator" w:id="0">
    <w:p w14:paraId="77693360" w14:textId="77777777" w:rsidR="00C85437" w:rsidRDefault="00C85437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6A00CF" w14:textId="77777777" w:rsidR="002A1930" w:rsidRDefault="00960C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000000">
      <w:rPr>
        <w:color w:val="000000"/>
      </w:rPr>
      <w:fldChar w:fldCharType="separate"/>
    </w:r>
    <w:r>
      <w:rPr>
        <w:color w:val="000000"/>
      </w:rPr>
      <w:fldChar w:fldCharType="end"/>
    </w:r>
  </w:p>
  <w:p w14:paraId="74AE040D" w14:textId="77777777" w:rsidR="002A1930" w:rsidRDefault="002A19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5963B7" w14:textId="486E3119" w:rsidR="002A1930" w:rsidRDefault="002A19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</w:rPr>
    </w:pPr>
  </w:p>
  <w:p w14:paraId="1E532AF7" w14:textId="77777777" w:rsidR="002A1930" w:rsidRDefault="002A19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2" w:firstLine="0"/>
      <w:rPr>
        <w:color w:val="000000"/>
        <w:sz w:val="2"/>
        <w:szCs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84BF6A" w14:textId="77777777" w:rsidR="002A1930" w:rsidRDefault="00960CAD">
    <w:pPr>
      <w:ind w:left="0" w:hanging="2"/>
      <w:rPr>
        <w:i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86697FF" wp14:editId="02E1C99D">
          <wp:simplePos x="0" y="0"/>
          <wp:positionH relativeFrom="page">
            <wp:posOffset>290830</wp:posOffset>
          </wp:positionH>
          <wp:positionV relativeFrom="page">
            <wp:posOffset>315595</wp:posOffset>
          </wp:positionV>
          <wp:extent cx="7092000" cy="889200"/>
          <wp:effectExtent l="0" t="0" r="0" b="0"/>
          <wp:wrapSquare wrapText="bothSides" distT="0" distB="0" distL="114300" distR="114300"/>
          <wp:docPr id="21482015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92000" cy="889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BB004F8" w14:textId="77777777" w:rsidR="002A1930" w:rsidRDefault="00960CAD">
    <w:pPr>
      <w:ind w:left="0" w:hanging="2"/>
      <w:rPr>
        <w:i/>
      </w:rPr>
    </w:pPr>
    <w:r>
      <w:rPr>
        <w:i/>
      </w:rPr>
      <w:t xml:space="preserve">* w tym zakresie warunki gwarancji zostaną dostosowane do części, na jaką Wykonawca złoży ofertę </w:t>
    </w:r>
  </w:p>
  <w:p w14:paraId="79D74563" w14:textId="77777777" w:rsidR="002A1930" w:rsidRDefault="002A19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285577"/>
    <w:multiLevelType w:val="multilevel"/>
    <w:tmpl w:val="1FA09F78"/>
    <w:lvl w:ilvl="0">
      <w:start w:val="21"/>
      <w:numFmt w:val="decimal"/>
      <w:lvlText w:val="%1."/>
      <w:lvlJc w:val="left"/>
      <w:pPr>
        <w:ind w:left="510" w:hanging="51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vertAlign w:val="baseline"/>
      </w:rPr>
    </w:lvl>
  </w:abstractNum>
  <w:abstractNum w:abstractNumId="1" w15:restartNumberingAfterBreak="0">
    <w:nsid w:val="09C754BB"/>
    <w:multiLevelType w:val="multilevel"/>
    <w:tmpl w:val="A72CE8A8"/>
    <w:lvl w:ilvl="0">
      <w:start w:val="21"/>
      <w:numFmt w:val="decimal"/>
      <w:lvlText w:val="%1."/>
      <w:lvlJc w:val="left"/>
      <w:pPr>
        <w:ind w:left="520" w:hanging="520"/>
      </w:pPr>
      <w:rPr>
        <w:vertAlign w:val="baseline"/>
      </w:rPr>
    </w:lvl>
    <w:lvl w:ilvl="1">
      <w:start w:val="4"/>
      <w:numFmt w:val="decimal"/>
      <w:lvlText w:val="%1.%2."/>
      <w:lvlJc w:val="left"/>
      <w:pPr>
        <w:ind w:left="1080" w:hanging="72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vertAlign w:val="baseline"/>
      </w:rPr>
    </w:lvl>
  </w:abstractNum>
  <w:abstractNum w:abstractNumId="2" w15:restartNumberingAfterBreak="0">
    <w:nsid w:val="12324B0D"/>
    <w:multiLevelType w:val="multilevel"/>
    <w:tmpl w:val="CEB822A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eastAsia="Times New Roman" w:hAnsi="Times New Roman" w:cs="Times New Roman"/>
        <w:b w:val="0"/>
        <w:vertAlign w:val="baseli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2736" w:hanging="934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vertAlign w:val="baseline"/>
      </w:rPr>
    </w:lvl>
  </w:abstractNum>
  <w:abstractNum w:abstractNumId="3" w15:restartNumberingAfterBreak="0">
    <w:nsid w:val="557B05C4"/>
    <w:multiLevelType w:val="multilevel"/>
    <w:tmpl w:val="B07C2F70"/>
    <w:lvl w:ilvl="0">
      <w:start w:val="22"/>
      <w:numFmt w:val="decimal"/>
      <w:lvlText w:val="%1."/>
      <w:lvlJc w:val="left"/>
      <w:pPr>
        <w:ind w:left="520" w:hanging="52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vertAlign w:val="baseline"/>
      </w:rPr>
    </w:lvl>
  </w:abstractNum>
  <w:abstractNum w:abstractNumId="4" w15:restartNumberingAfterBreak="0">
    <w:nsid w:val="5FB02BA5"/>
    <w:multiLevelType w:val="multilevel"/>
    <w:tmpl w:val="2E2CD884"/>
    <w:lvl w:ilvl="0">
      <w:start w:val="3"/>
      <w:numFmt w:val="bullet"/>
      <w:lvlText w:val="-"/>
      <w:lvlJc w:val="left"/>
      <w:pPr>
        <w:ind w:left="72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5" w15:restartNumberingAfterBreak="0">
    <w:nsid w:val="7AF67796"/>
    <w:multiLevelType w:val="multilevel"/>
    <w:tmpl w:val="353A55F4"/>
    <w:lvl w:ilvl="0">
      <w:start w:val="3"/>
      <w:numFmt w:val="bullet"/>
      <w:lvlText w:val="-"/>
      <w:lvlJc w:val="left"/>
      <w:pPr>
        <w:ind w:left="72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1368794217">
    <w:abstractNumId w:val="5"/>
  </w:num>
  <w:num w:numId="2" w16cid:durableId="1213425310">
    <w:abstractNumId w:val="1"/>
  </w:num>
  <w:num w:numId="3" w16cid:durableId="128596610">
    <w:abstractNumId w:val="3"/>
  </w:num>
  <w:num w:numId="4" w16cid:durableId="1211962808">
    <w:abstractNumId w:val="0"/>
  </w:num>
  <w:num w:numId="5" w16cid:durableId="184834554">
    <w:abstractNumId w:val="4"/>
  </w:num>
  <w:num w:numId="6" w16cid:durableId="5085638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1930"/>
    <w:rsid w:val="002A1930"/>
    <w:rsid w:val="00302AC0"/>
    <w:rsid w:val="00890595"/>
    <w:rsid w:val="008D5342"/>
    <w:rsid w:val="00960CAD"/>
    <w:rsid w:val="00AD01F7"/>
    <w:rsid w:val="00C02428"/>
    <w:rsid w:val="00C854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28B16"/>
  <w15:docId w15:val="{893CB6AE-E649-4DDD-BB94-593D7D121E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>
      <w:pPr>
        <w:widowControl w:val="0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</w:style>
  <w:style w:type="paragraph" w:styleId="Nagwek1">
    <w:name w:val="heading 1"/>
    <w:basedOn w:val="Normalny"/>
    <w:next w:val="Normalny"/>
    <w:uiPriority w:val="9"/>
    <w:qFormat/>
    <w:pPr>
      <w:keepNext/>
      <w:widowControl/>
      <w:jc w:val="center"/>
    </w:pPr>
    <w:rPr>
      <w:rFonts w:ascii="Tahoma" w:hAnsi="Tahoma"/>
      <w:b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widowControl/>
      <w:jc w:val="center"/>
      <w:outlineLvl w:val="1"/>
    </w:pPr>
    <w:rPr>
      <w:rFonts w:ascii="Tahoma" w:hAnsi="Tahoma"/>
      <w:b/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widowControl/>
      <w:ind w:left="7799" w:hanging="428"/>
      <w:outlineLvl w:val="2"/>
    </w:pPr>
    <w:rPr>
      <w:rFonts w:ascii="Tahoma" w:hAnsi="Tahoma"/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uiPriority w:val="10"/>
    <w:qFormat/>
    <w:pPr>
      <w:widowControl/>
      <w:jc w:val="center"/>
    </w:pPr>
    <w:rPr>
      <w:rFonts w:ascii="Arial" w:hAnsi="Arial" w:cs="Arial"/>
      <w:b/>
      <w:bCs/>
      <w:sz w:val="32"/>
      <w:szCs w:val="24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ekstdopunktu">
    <w:name w:val="Tekst do punktu"/>
    <w:pPr>
      <w:suppressAutoHyphens/>
      <w:spacing w:line="1" w:lineRule="atLeast"/>
      <w:ind w:leftChars="-1" w:left="510" w:hangingChars="1"/>
      <w:jc w:val="both"/>
      <w:textDirection w:val="btLr"/>
      <w:textAlignment w:val="top"/>
      <w:outlineLvl w:val="0"/>
    </w:pPr>
    <w:rPr>
      <w:rFonts w:ascii="Times" w:hAnsi="Times"/>
      <w:position w:val="-1"/>
    </w:rPr>
  </w:style>
  <w:style w:type="paragraph" w:customStyle="1" w:styleId="NowyPunkt">
    <w:name w:val="Nowy Punkt"/>
    <w:basedOn w:val="Normalny"/>
    <w:next w:val="Tekstdopunktu"/>
    <w:pPr>
      <w:ind w:left="284"/>
    </w:pPr>
    <w:rPr>
      <w:rFonts w:ascii="Times" w:hAnsi="Times"/>
      <w:b/>
    </w:rPr>
  </w:style>
  <w:style w:type="character" w:styleId="Odwoaniedokomentarza">
    <w:name w:val="annotation reference"/>
    <w:rPr>
      <w:w w:val="100"/>
      <w:position w:val="-1"/>
      <w:sz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rPr>
      <w:sz w:val="20"/>
    </w:rPr>
  </w:style>
  <w:style w:type="paragraph" w:styleId="Tekstpodstawowy2">
    <w:name w:val="Body Text 2"/>
    <w:basedOn w:val="Normalny"/>
    <w:pPr>
      <w:widowControl/>
      <w:jc w:val="both"/>
    </w:pPr>
    <w:rPr>
      <w:rFonts w:ascii="Tahoma" w:hAnsi="Tahoma"/>
      <w:sz w:val="20"/>
    </w:rPr>
  </w:style>
  <w:style w:type="paragraph" w:styleId="Zwykytekst">
    <w:name w:val="Plain Text"/>
    <w:basedOn w:val="Normalny"/>
    <w:pPr>
      <w:widowControl/>
    </w:pPr>
    <w:rPr>
      <w:rFonts w:ascii="Courier New" w:hAnsi="Courier New"/>
      <w:sz w:val="20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podstawowy">
    <w:name w:val="Body Text"/>
    <w:basedOn w:val="Normalny"/>
    <w:pPr>
      <w:jc w:val="both"/>
    </w:pPr>
    <w:rPr>
      <w:rFonts w:ascii="Arial" w:hAnsi="Arial" w:cs="Arial"/>
    </w:rPr>
  </w:style>
  <w:style w:type="paragraph" w:styleId="Tekstpodstawowywcity">
    <w:name w:val="Body Text Indent"/>
    <w:basedOn w:val="Normalny"/>
    <w:pPr>
      <w:widowControl/>
      <w:jc w:val="both"/>
    </w:pPr>
    <w:rPr>
      <w:sz w:val="24"/>
    </w:rPr>
  </w:style>
  <w:style w:type="paragraph" w:styleId="Tekstpodstawowywcity2">
    <w:name w:val="Body Text Indent 2"/>
    <w:basedOn w:val="Normalny"/>
    <w:pPr>
      <w:widowControl/>
      <w:ind w:left="284" w:hanging="284"/>
    </w:pPr>
    <w:rPr>
      <w:sz w:val="28"/>
    </w:rPr>
  </w:style>
  <w:style w:type="paragraph" w:styleId="Tekstpodstawowywcity3">
    <w:name w:val="Body Text Indent 3"/>
    <w:basedOn w:val="Normalny"/>
    <w:pPr>
      <w:widowControl/>
      <w:ind w:firstLine="426"/>
      <w:jc w:val="both"/>
    </w:pPr>
    <w:rPr>
      <w:rFonts w:ascii="Tahoma" w:hAnsi="Tahoma"/>
    </w:rPr>
  </w:style>
  <w:style w:type="paragraph" w:styleId="Tekstblokowy">
    <w:name w:val="Block Text"/>
    <w:basedOn w:val="Normalny"/>
    <w:pPr>
      <w:widowControl/>
      <w:ind w:left="993" w:right="-427" w:hanging="567"/>
      <w:jc w:val="both"/>
    </w:pPr>
    <w:rPr>
      <w:rFonts w:ascii="Tahoma" w:hAnsi="Tahoma"/>
    </w:rPr>
  </w:style>
  <w:style w:type="paragraph" w:styleId="Tekstpodstawowy3">
    <w:name w:val="Body Text 3"/>
    <w:basedOn w:val="Normalny"/>
    <w:pPr>
      <w:widowControl/>
      <w:jc w:val="both"/>
    </w:pPr>
    <w:rPr>
      <w:sz w:val="24"/>
    </w:rPr>
  </w:style>
  <w:style w:type="character" w:customStyle="1" w:styleId="NagwekZnak">
    <w:name w:val="Nagłówek Znak"/>
    <w:rPr>
      <w:w w:val="100"/>
      <w:position w:val="-1"/>
      <w:sz w:val="22"/>
      <w:effect w:val="none"/>
      <w:vertAlign w:val="baseline"/>
      <w:cs w:val="0"/>
      <w:em w:val="none"/>
    </w:rPr>
  </w:style>
  <w:style w:type="character" w:customStyle="1" w:styleId="Tekstpodstawowy3Znak">
    <w:name w:val="Tekst podstawowy 3 Znak"/>
    <w:rPr>
      <w:w w:val="100"/>
      <w:position w:val="-1"/>
      <w:sz w:val="24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PodtytuZnak">
    <w:name w:val="Podtytuł Znak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</w:rPr>
  </w:style>
  <w:style w:type="character" w:customStyle="1" w:styleId="TytuZnak">
    <w:name w:val="Tytuł Znak"/>
    <w:rPr>
      <w:rFonts w:ascii="Arial" w:hAnsi="Arial" w:cs="Arial"/>
      <w:b/>
      <w:bCs/>
      <w:w w:val="100"/>
      <w:position w:val="-1"/>
      <w:sz w:val="32"/>
      <w:szCs w:val="24"/>
      <w:effect w:val="none"/>
      <w:vertAlign w:val="baseline"/>
      <w:cs w:val="0"/>
      <w:em w:val="none"/>
    </w:rPr>
  </w:style>
  <w:style w:type="paragraph" w:styleId="Tekstdymka">
    <w:name w:val="Balloon Text"/>
    <w:basedOn w:val="Normalny"/>
    <w:qFormat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StopkaZnak">
    <w:name w:val="Stopka Znak"/>
    <w:basedOn w:val="Domylnaczcionkaakapitu"/>
    <w:link w:val="Stopka"/>
    <w:uiPriority w:val="99"/>
    <w:rsid w:val="008D5342"/>
    <w:rPr>
      <w:position w:val="-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uCQXdl+65BWkcCBo37FrFYowdQ==">CgMxLjAyCGguZ2pkZ3hzOAByITEtTjJVWE1rTVBwbThHZ0RKVjh1dzdJa1I3aEZETk42Mg==</go:docsCustomData>
</go:gDocsCustomXmlDataStorage>
</file>

<file path=customXml/itemProps1.xml><?xml version="1.0" encoding="utf-8"?>
<ds:datastoreItem xmlns:ds="http://schemas.openxmlformats.org/officeDocument/2006/customXml" ds:itemID="{32DB5012-E02B-41F8-831E-0A9FAEC593C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6</Pages>
  <Words>2259</Words>
  <Characters>13556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Zadowolony użytkownik pakietu Microsoft Office</dc:creator>
  <cp:lastModifiedBy>Kinga Janik</cp:lastModifiedBy>
  <cp:revision>3</cp:revision>
  <dcterms:created xsi:type="dcterms:W3CDTF">2024-06-04T18:56:00Z</dcterms:created>
  <dcterms:modified xsi:type="dcterms:W3CDTF">2024-07-09T07:24:00Z</dcterms:modified>
</cp:coreProperties>
</file>